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1FF" w14:textId="03C42204" w:rsidR="00064521" w:rsidRPr="00064521" w:rsidRDefault="00064521" w:rsidP="00064521">
      <w:pPr>
        <w:spacing w:line="360" w:lineRule="auto"/>
        <w:ind w:firstLine="360"/>
        <w:jc w:val="center"/>
        <w:rPr>
          <w:rFonts w:ascii="Times New Roman" w:hAnsi="Times New Roman" w:cs="Times New Roman"/>
          <w:b/>
          <w:bCs/>
          <w:sz w:val="28"/>
          <w:szCs w:val="28"/>
        </w:rPr>
      </w:pPr>
      <w:r w:rsidRPr="00064521">
        <w:rPr>
          <w:rFonts w:ascii="Times New Roman" w:hAnsi="Times New Roman" w:cs="Times New Roman"/>
          <w:b/>
          <w:bCs/>
          <w:sz w:val="28"/>
          <w:szCs w:val="28"/>
        </w:rPr>
        <w:t>Gotowość szkolna – dziecko gotowe do roli ucznia</w:t>
      </w:r>
    </w:p>
    <w:p w14:paraId="39F63231" w14:textId="58D919A4" w:rsidR="000223FD" w:rsidRDefault="00064521" w:rsidP="00064521">
      <w:pPr>
        <w:spacing w:after="0" w:line="360" w:lineRule="auto"/>
        <w:ind w:firstLine="360"/>
        <w:jc w:val="both"/>
        <w:rPr>
          <w:rFonts w:ascii="Times New Roman" w:hAnsi="Times New Roman" w:cs="Times New Roman"/>
          <w:sz w:val="24"/>
          <w:szCs w:val="24"/>
        </w:rPr>
      </w:pPr>
      <w:r w:rsidRPr="00F02A57">
        <w:rPr>
          <w:rFonts w:ascii="Times New Roman" w:hAnsi="Times New Roman" w:cs="Times New Roman"/>
          <w:sz w:val="24"/>
          <w:szCs w:val="24"/>
        </w:rPr>
        <w:t>W obecnych czasach pojęć takich jak gotowość szkolna czy dojrzałość szkolna używa się najczęściej zamiennie. Te terminy w ujęciach definicyjnych nie są do końca jednoznaczne. Zostały one wprowadzone wraz z początkiem XX wieku przez niemieckich psychologów</w:t>
      </w:r>
      <w:r w:rsidRPr="004F41C8">
        <w:rPr>
          <w:rStyle w:val="Odwoanieprzypisudolnego"/>
          <w:rFonts w:ascii="Times New Roman" w:hAnsi="Times New Roman" w:cs="Times New Roman"/>
          <w:sz w:val="24"/>
          <w:szCs w:val="24"/>
        </w:rPr>
        <w:footnoteReference w:id="1"/>
      </w:r>
      <w:r w:rsidRPr="00F02A57">
        <w:rPr>
          <w:rFonts w:ascii="Times New Roman" w:hAnsi="Times New Roman" w:cs="Times New Roman"/>
          <w:sz w:val="24"/>
          <w:szCs w:val="24"/>
        </w:rPr>
        <w:t xml:space="preserve">. Barbara </w:t>
      </w:r>
      <w:proofErr w:type="spellStart"/>
      <w:r w:rsidRPr="00F02A57">
        <w:rPr>
          <w:rFonts w:ascii="Times New Roman" w:hAnsi="Times New Roman" w:cs="Times New Roman"/>
          <w:sz w:val="24"/>
          <w:szCs w:val="24"/>
        </w:rPr>
        <w:t>Wilgocka-Okoń</w:t>
      </w:r>
      <w:proofErr w:type="spellEnd"/>
      <w:r w:rsidRPr="00F02A57">
        <w:rPr>
          <w:rFonts w:ascii="Times New Roman" w:hAnsi="Times New Roman" w:cs="Times New Roman"/>
          <w:sz w:val="24"/>
          <w:szCs w:val="24"/>
        </w:rPr>
        <w:t xml:space="preserve"> różnicuje te dwa zagadnienia wskazując na właściwości procesów dojrzewania oraz znaczenie nauki w rozwoju dziecka. Dojrzałość umiejscowiona</w:t>
      </w:r>
      <w:r>
        <w:rPr>
          <w:rFonts w:ascii="Times New Roman" w:hAnsi="Times New Roman" w:cs="Times New Roman"/>
          <w:sz w:val="24"/>
          <w:szCs w:val="24"/>
        </w:rPr>
        <w:t xml:space="preserve"> </w:t>
      </w:r>
      <w:r w:rsidRPr="00F02A57">
        <w:rPr>
          <w:rFonts w:ascii="Times New Roman" w:hAnsi="Times New Roman" w:cs="Times New Roman"/>
          <w:sz w:val="24"/>
          <w:szCs w:val="24"/>
        </w:rPr>
        <w:t xml:space="preserve">jest </w:t>
      </w:r>
      <w:r>
        <w:rPr>
          <w:rFonts w:ascii="Times New Roman" w:hAnsi="Times New Roman" w:cs="Times New Roman"/>
          <w:sz w:val="24"/>
          <w:szCs w:val="24"/>
        </w:rPr>
        <w:br/>
      </w:r>
      <w:r w:rsidRPr="00F02A57">
        <w:rPr>
          <w:rFonts w:ascii="Times New Roman" w:hAnsi="Times New Roman" w:cs="Times New Roman"/>
          <w:sz w:val="24"/>
          <w:szCs w:val="24"/>
        </w:rPr>
        <w:t>w procesie dojrzewania, a więc wiąże się ze zmianami rozwojowymi dzieci</w:t>
      </w:r>
      <w:r w:rsidRPr="004F41C8">
        <w:rPr>
          <w:rStyle w:val="Odwoanieprzypisudolnego"/>
          <w:rFonts w:ascii="Times New Roman" w:hAnsi="Times New Roman" w:cs="Times New Roman"/>
          <w:sz w:val="24"/>
          <w:szCs w:val="24"/>
        </w:rPr>
        <w:footnoteReference w:id="2"/>
      </w:r>
      <w:r w:rsidRPr="00F02A57">
        <w:rPr>
          <w:rFonts w:ascii="Times New Roman" w:hAnsi="Times New Roman" w:cs="Times New Roman"/>
          <w:sz w:val="24"/>
          <w:szCs w:val="24"/>
        </w:rPr>
        <w:t>. Zatem znajomość etapów procesu dojrzewania jest bardzo ważna w diagnozowaniu dojrzałości szkolnej. Według Wincentego Okonia dojrzałość szkolna to „osiągnięcie przez dziecko takiego stopnia rozwoju umysłowego, emocjonalnego, społecznego i fizycznego, jaki umożliwia mu udział w życiu szkolnym i opanowaniu treści programowych kl. I”</w:t>
      </w:r>
      <w:r w:rsidRPr="004F41C8">
        <w:rPr>
          <w:rStyle w:val="Odwoanieprzypisudolnego"/>
          <w:rFonts w:ascii="Times New Roman" w:hAnsi="Times New Roman" w:cs="Times New Roman"/>
          <w:sz w:val="24"/>
          <w:szCs w:val="24"/>
        </w:rPr>
        <w:footnoteReference w:id="3"/>
      </w:r>
      <w:r w:rsidRPr="00F02A57">
        <w:rPr>
          <w:rFonts w:ascii="Times New Roman" w:hAnsi="Times New Roman" w:cs="Times New Roman"/>
          <w:sz w:val="24"/>
          <w:szCs w:val="24"/>
        </w:rPr>
        <w:t>. Mówiąc o dojrzałości szkolnej należy wziąć pod uwagę wszystkie procesy rozwojowe dzieci sześcioletnich.</w:t>
      </w:r>
    </w:p>
    <w:p w14:paraId="51517DB5" w14:textId="1BB989B0" w:rsidR="00064521" w:rsidRPr="00F02A57" w:rsidRDefault="00064521" w:rsidP="00064521">
      <w:pPr>
        <w:spacing w:after="0" w:line="360" w:lineRule="auto"/>
        <w:ind w:firstLine="360"/>
        <w:jc w:val="both"/>
        <w:rPr>
          <w:rFonts w:ascii="Times New Roman" w:hAnsi="Times New Roman" w:cs="Times New Roman"/>
          <w:sz w:val="24"/>
          <w:szCs w:val="24"/>
        </w:rPr>
      </w:pPr>
      <w:r w:rsidRPr="00F02A57">
        <w:rPr>
          <w:rFonts w:ascii="Times New Roman" w:hAnsi="Times New Roman" w:cs="Times New Roman"/>
          <w:sz w:val="24"/>
          <w:szCs w:val="24"/>
        </w:rPr>
        <w:t>Przez gotowość szkolną rozumie się przygotowanie do nauki w szkole, czyli do kolejnego etapu edukacyjnego, poprzez wyćwiczenie oraz ukształtowanie niektórych umiejętności wychowanka, które dadzą mu „szansę osiągnięcia dojrzałości szkolnej”</w:t>
      </w:r>
      <w:r w:rsidRPr="004F41C8">
        <w:rPr>
          <w:rStyle w:val="Odwoanieprzypisudolnego"/>
          <w:rFonts w:ascii="Times New Roman" w:hAnsi="Times New Roman" w:cs="Times New Roman"/>
          <w:sz w:val="24"/>
          <w:szCs w:val="24"/>
        </w:rPr>
        <w:footnoteReference w:id="4"/>
      </w:r>
      <w:r w:rsidRPr="00F02A57">
        <w:rPr>
          <w:rFonts w:ascii="Times New Roman" w:hAnsi="Times New Roman" w:cs="Times New Roman"/>
          <w:sz w:val="24"/>
          <w:szCs w:val="24"/>
        </w:rPr>
        <w:t>. Leokadia Wiatrowska uważa, że ten termin zawiera już w sobie dojrzałość do nauki szkolnej</w:t>
      </w:r>
      <w:r w:rsidRPr="004F41C8">
        <w:rPr>
          <w:rStyle w:val="Odwoanieprzypisudolnego"/>
          <w:rFonts w:ascii="Times New Roman" w:hAnsi="Times New Roman" w:cs="Times New Roman"/>
          <w:sz w:val="24"/>
          <w:szCs w:val="24"/>
        </w:rPr>
        <w:footnoteReference w:id="5"/>
      </w:r>
      <w:r w:rsidRPr="00F02A57">
        <w:rPr>
          <w:rFonts w:ascii="Times New Roman" w:hAnsi="Times New Roman" w:cs="Times New Roman"/>
          <w:sz w:val="24"/>
          <w:szCs w:val="24"/>
        </w:rPr>
        <w:t>. Różnicuje również te dwa zagadnienia w podobny sposób jak inni teoretycy literaccy. Mianowicie spogląda na te pojęcia za pomocą kryteriów takich jak proces dojrzewania oraz uczenia się, w którym następuje ukształtowanie konkretnych właściwości u dzieci w wieku przedszkolnym za pomocą różnych oddziaływań z zewnątrz w celu uzyskania dojrzałości do podejmowania edukacji szkolnej</w:t>
      </w:r>
      <w:r w:rsidRPr="004F41C8">
        <w:rPr>
          <w:rStyle w:val="Odwoanieprzypisudolnego"/>
          <w:rFonts w:ascii="Times New Roman" w:hAnsi="Times New Roman" w:cs="Times New Roman"/>
          <w:sz w:val="24"/>
          <w:szCs w:val="24"/>
        </w:rPr>
        <w:footnoteReference w:id="6"/>
      </w:r>
      <w:r w:rsidRPr="00F02A57">
        <w:rPr>
          <w:rFonts w:ascii="Times New Roman" w:hAnsi="Times New Roman" w:cs="Times New Roman"/>
          <w:sz w:val="24"/>
          <w:szCs w:val="24"/>
        </w:rPr>
        <w:t>. W zagadnieniu tym „mieszczą się zarówno efekty procesu dojrzewania, jak i wyniki procesu uczenia się”</w:t>
      </w:r>
      <w:r w:rsidRPr="004F41C8">
        <w:rPr>
          <w:rStyle w:val="Odwoanieprzypisudolnego"/>
          <w:rFonts w:ascii="Times New Roman" w:hAnsi="Times New Roman" w:cs="Times New Roman"/>
          <w:sz w:val="24"/>
          <w:szCs w:val="24"/>
        </w:rPr>
        <w:footnoteReference w:id="7"/>
      </w:r>
      <w:r w:rsidRPr="00F02A57">
        <w:rPr>
          <w:rFonts w:ascii="Times New Roman" w:hAnsi="Times New Roman" w:cs="Times New Roman"/>
          <w:sz w:val="24"/>
          <w:szCs w:val="24"/>
        </w:rPr>
        <w:t xml:space="preserve">. Pojęcie gotowości szkolnej jest znacznie szerzej rozumiane niż dojrzałość szkolna. Nie zawiera w sobie wyłącznie aspektów związanych z osiągnięciem przez wychowanka pewnych sprawności rozwojowych, lecz także zauważa jak istotne w całym tym </w:t>
      </w:r>
      <w:r w:rsidRPr="00F02A57">
        <w:rPr>
          <w:rFonts w:ascii="Times New Roman" w:hAnsi="Times New Roman" w:cs="Times New Roman"/>
          <w:sz w:val="24"/>
          <w:szCs w:val="24"/>
        </w:rPr>
        <w:lastRenderedPageBreak/>
        <w:t>procesie jest motywowanie oraz podejście samego dziecka w kwestii szkoły czy też uczenia się</w:t>
      </w:r>
      <w:r w:rsidRPr="004F41C8">
        <w:rPr>
          <w:rStyle w:val="Odwoanieprzypisudolnego"/>
          <w:rFonts w:ascii="Times New Roman" w:hAnsi="Times New Roman" w:cs="Times New Roman"/>
          <w:sz w:val="24"/>
          <w:szCs w:val="24"/>
        </w:rPr>
        <w:footnoteReference w:id="8"/>
      </w:r>
      <w:r w:rsidRPr="00F02A57">
        <w:rPr>
          <w:rFonts w:ascii="Times New Roman" w:hAnsi="Times New Roman" w:cs="Times New Roman"/>
          <w:sz w:val="24"/>
          <w:szCs w:val="24"/>
        </w:rPr>
        <w:t>.</w:t>
      </w:r>
    </w:p>
    <w:p w14:paraId="3E505FAC" w14:textId="77777777" w:rsidR="00064521" w:rsidRPr="00F02A57" w:rsidRDefault="00064521" w:rsidP="00064521">
      <w:pPr>
        <w:spacing w:after="0" w:line="360" w:lineRule="auto"/>
        <w:ind w:firstLine="360"/>
        <w:jc w:val="both"/>
        <w:rPr>
          <w:rFonts w:ascii="Times New Roman" w:hAnsi="Times New Roman" w:cs="Times New Roman"/>
          <w:sz w:val="24"/>
          <w:szCs w:val="24"/>
        </w:rPr>
      </w:pPr>
      <w:r w:rsidRPr="00F02A57">
        <w:rPr>
          <w:rFonts w:ascii="Times New Roman" w:hAnsi="Times New Roman" w:cs="Times New Roman"/>
          <w:sz w:val="24"/>
          <w:szCs w:val="24"/>
        </w:rPr>
        <w:t xml:space="preserve">Wyznacznikami gotowości szkolnej najczęściej są trzy elementy. Jednym z nich jest gotowość emocjonalno-motywacyjna, która wskazuje na zachowanie dzieci w stresujących sytuacjach, ich emocjonalną reakcję na poszczególne zdarzenia, poprawne kontakty </w:t>
      </w:r>
      <w:r w:rsidRPr="00F02A57">
        <w:rPr>
          <w:rFonts w:ascii="Times New Roman" w:hAnsi="Times New Roman" w:cs="Times New Roman"/>
          <w:sz w:val="24"/>
          <w:szCs w:val="24"/>
        </w:rPr>
        <w:br/>
        <w:t xml:space="preserve">z rówieśnikami, umiejętności samoobsługowe, dyscyplinę oraz odpowiednie podejście do nauki. Kolejnym aspektem jest gotowość słownikowo-pojęciowa, która pokazuje zasób </w:t>
      </w:r>
      <w:r w:rsidRPr="00F02A57">
        <w:rPr>
          <w:rFonts w:ascii="Times New Roman" w:hAnsi="Times New Roman" w:cs="Times New Roman"/>
          <w:sz w:val="24"/>
          <w:szCs w:val="24"/>
        </w:rPr>
        <w:br/>
        <w:t xml:space="preserve">i bogactwo słów w wyrażaniu myśli, zdań czy opinii, a także wniosków. Trzecim </w:t>
      </w:r>
      <w:r w:rsidRPr="00F02A57">
        <w:rPr>
          <w:rFonts w:ascii="Times New Roman" w:hAnsi="Times New Roman" w:cs="Times New Roman"/>
          <w:sz w:val="24"/>
          <w:szCs w:val="24"/>
        </w:rPr>
        <w:br/>
        <w:t xml:space="preserve">z wyznaczników jest gotowość psychomotoryczna, dotyczy ona sprawności motorycznej, poprawnego wymawiania głosek, poprawnego rozwijania się percepcji wzrokowej </w:t>
      </w:r>
      <w:r>
        <w:rPr>
          <w:rFonts w:ascii="Times New Roman" w:hAnsi="Times New Roman" w:cs="Times New Roman"/>
          <w:sz w:val="24"/>
          <w:szCs w:val="24"/>
        </w:rPr>
        <w:br/>
      </w:r>
      <w:r w:rsidRPr="00F02A57">
        <w:rPr>
          <w:rFonts w:ascii="Times New Roman" w:hAnsi="Times New Roman" w:cs="Times New Roman"/>
          <w:sz w:val="24"/>
          <w:szCs w:val="24"/>
        </w:rPr>
        <w:t>i słuchowej, koncentracji, pamięci, orientacji przestrzennej oraz integracji</w:t>
      </w:r>
      <w:r w:rsidRPr="004F41C8">
        <w:rPr>
          <w:rStyle w:val="Odwoanieprzypisudolnego"/>
          <w:rFonts w:ascii="Times New Roman" w:hAnsi="Times New Roman" w:cs="Times New Roman"/>
          <w:sz w:val="24"/>
          <w:szCs w:val="24"/>
        </w:rPr>
        <w:footnoteReference w:id="9"/>
      </w:r>
      <w:r w:rsidRPr="00F02A57">
        <w:rPr>
          <w:rFonts w:ascii="Times New Roman" w:hAnsi="Times New Roman" w:cs="Times New Roman"/>
          <w:sz w:val="24"/>
          <w:szCs w:val="24"/>
        </w:rPr>
        <w:t>.</w:t>
      </w:r>
    </w:p>
    <w:p w14:paraId="4EBD5ACE" w14:textId="37E3E800" w:rsidR="00064521" w:rsidRDefault="00064521" w:rsidP="000645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Radykalna zmiana w życiu dziecka jest dla niego dużym przeżyciem oraz nowym doświadczeniem, z którym musi sobie poradzić. Wkraczając w rzeczywistość szkolną dziecko pokonuje kolejny stopień w swojej karierze edukacyjnej. Codzienna zabawa zamienia się </w:t>
      </w:r>
      <w:r>
        <w:rPr>
          <w:rFonts w:ascii="Times New Roman" w:hAnsi="Times New Roman" w:cs="Times New Roman"/>
          <w:sz w:val="24"/>
          <w:szCs w:val="24"/>
        </w:rPr>
        <w:br/>
      </w:r>
      <w:r>
        <w:rPr>
          <w:rFonts w:ascii="Times New Roman" w:hAnsi="Times New Roman" w:cs="Times New Roman"/>
          <w:sz w:val="24"/>
          <w:szCs w:val="24"/>
        </w:rPr>
        <w:t>w ciągły proces uczenia się. Szkoła stawia przed dzieckiem nowe wyzwania. Musi być ono odpowiednio wcześniej przygotowane, czyli osiągnąć omawianą powyżej gotowość szkolną</w:t>
      </w:r>
      <w:r>
        <w:rPr>
          <w:rFonts w:ascii="Times New Roman" w:hAnsi="Times New Roman" w:cs="Times New Roman"/>
          <w:sz w:val="24"/>
          <w:szCs w:val="24"/>
        </w:rPr>
        <w:t>.</w:t>
      </w:r>
    </w:p>
    <w:p w14:paraId="3FE292B0" w14:textId="3D481148" w:rsidR="00064521" w:rsidRDefault="00064521" w:rsidP="000645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Dziecko gotowe do wejścia w rolę ucznia przejawia konkretne zachowania </w:t>
      </w:r>
      <w:r>
        <w:rPr>
          <w:rFonts w:ascii="Times New Roman" w:hAnsi="Times New Roman" w:cs="Times New Roman"/>
          <w:sz w:val="24"/>
          <w:szCs w:val="24"/>
        </w:rPr>
        <w:br/>
        <w:t xml:space="preserve">i właściwości. Ważnym elementem warunkującym odpowiednie podejście do tej roli jest wiara w siebie, we własne możliwości. Wychowanek powinien dobrze czuć się we własnym ciele, panować nad emocjami, nagannymi </w:t>
      </w:r>
      <w:proofErr w:type="spellStart"/>
      <w:r>
        <w:rPr>
          <w:rFonts w:ascii="Times New Roman" w:hAnsi="Times New Roman" w:cs="Times New Roman"/>
          <w:sz w:val="24"/>
          <w:szCs w:val="24"/>
        </w:rPr>
        <w:t>zachowaniami</w:t>
      </w:r>
      <w:proofErr w:type="spellEnd"/>
      <w:r>
        <w:rPr>
          <w:rFonts w:ascii="Times New Roman" w:hAnsi="Times New Roman" w:cs="Times New Roman"/>
          <w:sz w:val="24"/>
          <w:szCs w:val="24"/>
        </w:rPr>
        <w:t xml:space="preserve"> w kontaktach rówieśniczych i nie tylko. Cechuje go silna ciekawość poznawcza otaczającej rzeczywistości, chęć do zdobywania wiedzy. Jest świadomy podejmowanych działań i stara się sam wpływać na przebieg różnych zdarzeń. Istotna jest również samokontrola, dziecko zgodnie do swojego wieku potrafi kontrolować swoje działania i wyrażane emocje. Kluczowe są także prawidłowe relacje koleżeńskie z rówieśnikami, komunikatywność oraz współdziałanie w grupie</w:t>
      </w:r>
      <w:r>
        <w:rPr>
          <w:rStyle w:val="Odwoanieprzypisudolnego"/>
          <w:rFonts w:ascii="Times New Roman" w:hAnsi="Times New Roman" w:cs="Times New Roman"/>
          <w:sz w:val="24"/>
          <w:szCs w:val="24"/>
        </w:rPr>
        <w:footnoteReference w:id="10"/>
      </w:r>
      <w:r>
        <w:rPr>
          <w:rFonts w:ascii="Times New Roman" w:hAnsi="Times New Roman" w:cs="Times New Roman"/>
          <w:sz w:val="24"/>
          <w:szCs w:val="24"/>
        </w:rPr>
        <w:t xml:space="preserve">. </w:t>
      </w:r>
    </w:p>
    <w:p w14:paraId="72223E14" w14:textId="74126FD8" w:rsidR="00064521" w:rsidRDefault="00064521" w:rsidP="000645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Odpowiednie kontakty międzyludzkie u dzieci w wieku przedszkolnym mają istotny wpływ na ich dalsze życie. Już w przedszkolu zawierają nowe relacje, które mogą przerodzić się </w:t>
      </w:r>
      <w:r>
        <w:rPr>
          <w:rFonts w:ascii="Times New Roman" w:hAnsi="Times New Roman" w:cs="Times New Roman"/>
          <w:sz w:val="24"/>
          <w:szCs w:val="24"/>
        </w:rPr>
        <w:br/>
      </w:r>
      <w:r>
        <w:rPr>
          <w:rFonts w:ascii="Times New Roman" w:hAnsi="Times New Roman" w:cs="Times New Roman"/>
          <w:sz w:val="24"/>
          <w:szCs w:val="24"/>
        </w:rPr>
        <w:t xml:space="preserve">w przyjaźń. W tym okresie nie są to jeszcze prawdziwe przyjaźnie opierające się na zaufaniu, ale traktowane są równie ważnie. Dzieci muszą wiedzieć jak ważne jest nawiązywanie nowych znajomości, interakcje z rówieśnikami. Przez angażowanie w życie społeczne dziecko bardziej </w:t>
      </w:r>
      <w:r>
        <w:rPr>
          <w:rFonts w:ascii="Times New Roman" w:hAnsi="Times New Roman" w:cs="Times New Roman"/>
          <w:sz w:val="24"/>
          <w:szCs w:val="24"/>
        </w:rPr>
        <w:lastRenderedPageBreak/>
        <w:t>się uspołecznia. Nawiązywanie relacji rówieśniczych już od młodego pozwoli na ukształtowanie umiejętności współpracowania w grupie, podejmowania różnorodnych ról społecznych, rozwiązywania sytuacji konfliktowych, uwzględnianie zdania innych, a nie tylko swojego. Te zdolności ułatwią dziecku wejście w rolę ucznia</w:t>
      </w:r>
      <w:r>
        <w:rPr>
          <w:rStyle w:val="Odwoanieprzypisudolnego"/>
          <w:rFonts w:ascii="Times New Roman" w:hAnsi="Times New Roman" w:cs="Times New Roman"/>
          <w:sz w:val="24"/>
          <w:szCs w:val="24"/>
        </w:rPr>
        <w:footnoteReference w:id="11"/>
      </w:r>
      <w:r>
        <w:rPr>
          <w:rFonts w:ascii="Times New Roman" w:hAnsi="Times New Roman" w:cs="Times New Roman"/>
          <w:sz w:val="24"/>
          <w:szCs w:val="24"/>
        </w:rPr>
        <w:t>.</w:t>
      </w:r>
    </w:p>
    <w:p w14:paraId="26B484CC" w14:textId="77777777" w:rsidR="00064521" w:rsidRDefault="00064521" w:rsidP="000645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Świadomość własnego „ja” jest kluczowym aspektem w podejmowaniu roli ucznia przez dziecko. Często młodsze dzieci nie potrafią jeszcze hamować swoich reakcji, przez co postrzegane są jako mniej kompetentne w relacjach społecznych. Mają problem </w:t>
      </w:r>
      <w:r>
        <w:rPr>
          <w:rFonts w:ascii="Times New Roman" w:hAnsi="Times New Roman" w:cs="Times New Roman"/>
          <w:sz w:val="24"/>
          <w:szCs w:val="24"/>
        </w:rPr>
        <w:br/>
        <w:t>z przystosowaniem się do zasad, ze zrealizowaniem powierzonego im zadania, gdyż nie mogą skupić się tylko na tej jednej rzeczy, ich uwagę zajmuje dużo więcej elementów otaczających ich wokół. Zaburzone jest poczucie samokontroli czy koncentracji. Taki uczeń może się jawić w oczach nauczycieli jako dziecko niedostosowane. Im większą świadomość swoich czynów będzie miał pierwszoklasista tym lepiej uda mu się przystosować do nowej sytuacji, w której się znalazł, czyli w szkole</w:t>
      </w:r>
      <w:r>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w:t>
      </w:r>
    </w:p>
    <w:p w14:paraId="76573F94" w14:textId="435B83C1" w:rsidR="00064521" w:rsidRDefault="00064521" w:rsidP="000645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Gotowość szkolna wiąże się również odpowiednimi relacjami z dorosłymi. Dziecko musi umiejętnie rozstać się z dotychczasowym otoczeniem. Pojawią się nowi dorośli w życiu dziecka jak nowy wychowawca klasy. W kontakcie z dorosłymi wykazuje zainteresowanie oraz zaangażowanie. Słucha uważnie wypowiedzi dorosłych oraz reaguje na wydane polecenie </w:t>
      </w:r>
      <w:r>
        <w:rPr>
          <w:rFonts w:ascii="Times New Roman" w:hAnsi="Times New Roman" w:cs="Times New Roman"/>
          <w:sz w:val="24"/>
          <w:szCs w:val="24"/>
        </w:rPr>
        <w:br/>
      </w:r>
      <w:r>
        <w:rPr>
          <w:rFonts w:ascii="Times New Roman" w:hAnsi="Times New Roman" w:cs="Times New Roman"/>
          <w:sz w:val="24"/>
          <w:szCs w:val="24"/>
        </w:rPr>
        <w:t xml:space="preserve">i stosuje się do zaprezentowanych zasad. Potrafi poprosić o wsparcie ze strony dorosłego </w:t>
      </w:r>
      <w:r>
        <w:rPr>
          <w:rFonts w:ascii="Times New Roman" w:hAnsi="Times New Roman" w:cs="Times New Roman"/>
          <w:sz w:val="24"/>
          <w:szCs w:val="24"/>
        </w:rPr>
        <w:br/>
      </w:r>
      <w:r>
        <w:rPr>
          <w:rFonts w:ascii="Times New Roman" w:hAnsi="Times New Roman" w:cs="Times New Roman"/>
          <w:sz w:val="24"/>
          <w:szCs w:val="24"/>
        </w:rPr>
        <w:t>w trudnej dla niego sytuacji. Wie, że nie może być ciągle w centrum uwagi, że są też inne osoby wokół niego, które potrzebują kontaktu z osobą dorosłą</w:t>
      </w:r>
      <w:r>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 xml:space="preserve">. </w:t>
      </w:r>
    </w:p>
    <w:p w14:paraId="0C2EF6D2" w14:textId="77777777" w:rsidR="00064521" w:rsidRDefault="00064521" w:rsidP="000645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Wymienione wyżej aspekty pełnią ważną rolę w podejmowaniu przez dziecko roli ucznia, jest to dla niego bardzo ważny etap w życiu. Zaczyna się nauka w ławkach szkolnych, a nie jak do tej pory jedynie zabawa z krótkimi przerwami na zajęcia dydaktyczne. Dlatego tak istotne jest osiągnięcie gotowości szkolnej. Posiadane kompetencje społeczne pomogą mu z łatwością wkroczyć w nowy świat, pełen wyzwań oraz zaadaptować się w nim. Samokontrola, panowanie nad emocjami są kluczowymi aspektami w odnalezieniu się w nowej sytuacji. </w:t>
      </w:r>
    </w:p>
    <w:p w14:paraId="0DED1038" w14:textId="77777777" w:rsidR="00064521" w:rsidRDefault="00064521" w:rsidP="00064521">
      <w:pPr>
        <w:spacing w:after="0" w:line="360" w:lineRule="auto"/>
        <w:ind w:firstLine="360"/>
        <w:jc w:val="both"/>
        <w:rPr>
          <w:rFonts w:ascii="Times New Roman" w:hAnsi="Times New Roman" w:cs="Times New Roman"/>
          <w:sz w:val="24"/>
          <w:szCs w:val="24"/>
        </w:rPr>
      </w:pPr>
    </w:p>
    <w:p w14:paraId="596CA500" w14:textId="77777777" w:rsidR="00064521" w:rsidRDefault="00064521" w:rsidP="00064521">
      <w:pPr>
        <w:spacing w:after="0" w:line="360" w:lineRule="auto"/>
        <w:ind w:firstLine="360"/>
        <w:jc w:val="both"/>
        <w:rPr>
          <w:rFonts w:ascii="Times New Roman" w:hAnsi="Times New Roman" w:cs="Times New Roman"/>
          <w:sz w:val="24"/>
          <w:szCs w:val="24"/>
        </w:rPr>
      </w:pPr>
    </w:p>
    <w:p w14:paraId="5E93E71F" w14:textId="5192B313" w:rsidR="00064521" w:rsidRDefault="00064521" w:rsidP="00064521">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Opracowanie:</w:t>
      </w:r>
    </w:p>
    <w:p w14:paraId="2D422CD1" w14:textId="1C18DB2A" w:rsidR="00064521" w:rsidRDefault="00064521" w:rsidP="00064521">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mgr Natalia Kupczyńska</w:t>
      </w:r>
    </w:p>
    <w:p w14:paraId="6D1A912E" w14:textId="10525E58" w:rsidR="00064521" w:rsidRDefault="00064521" w:rsidP="00064521">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mgr Ewa Pietrzak</w:t>
      </w:r>
    </w:p>
    <w:p w14:paraId="78145A8C" w14:textId="77777777" w:rsidR="00064521" w:rsidRPr="00064521" w:rsidRDefault="00064521" w:rsidP="00064521">
      <w:pPr>
        <w:spacing w:after="0" w:line="360" w:lineRule="auto"/>
        <w:ind w:firstLine="360"/>
        <w:jc w:val="both"/>
        <w:rPr>
          <w:rFonts w:ascii="Times New Roman" w:hAnsi="Times New Roman" w:cs="Times New Roman"/>
          <w:sz w:val="24"/>
          <w:szCs w:val="24"/>
        </w:rPr>
      </w:pPr>
    </w:p>
    <w:sectPr w:rsidR="00064521" w:rsidRPr="00064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B51F" w14:textId="77777777" w:rsidR="006423FE" w:rsidRDefault="006423FE" w:rsidP="00064521">
      <w:pPr>
        <w:spacing w:after="0" w:line="240" w:lineRule="auto"/>
      </w:pPr>
      <w:r>
        <w:separator/>
      </w:r>
    </w:p>
  </w:endnote>
  <w:endnote w:type="continuationSeparator" w:id="0">
    <w:p w14:paraId="4CDC8610" w14:textId="77777777" w:rsidR="006423FE" w:rsidRDefault="006423FE" w:rsidP="0006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9F73" w14:textId="77777777" w:rsidR="006423FE" w:rsidRDefault="006423FE" w:rsidP="00064521">
      <w:pPr>
        <w:spacing w:after="0" w:line="240" w:lineRule="auto"/>
      </w:pPr>
      <w:r>
        <w:separator/>
      </w:r>
    </w:p>
  </w:footnote>
  <w:footnote w:type="continuationSeparator" w:id="0">
    <w:p w14:paraId="3B0729B6" w14:textId="77777777" w:rsidR="006423FE" w:rsidRDefault="006423FE" w:rsidP="00064521">
      <w:pPr>
        <w:spacing w:after="0" w:line="240" w:lineRule="auto"/>
      </w:pPr>
      <w:r>
        <w:continuationSeparator/>
      </w:r>
    </w:p>
  </w:footnote>
  <w:footnote w:id="1">
    <w:p w14:paraId="1D80DC48" w14:textId="77777777" w:rsidR="00064521" w:rsidRPr="001D32BD" w:rsidRDefault="00064521" w:rsidP="00064521">
      <w:pPr>
        <w:pStyle w:val="Tekstprzypisudolnego"/>
        <w:jc w:val="both"/>
        <w:rPr>
          <w:rFonts w:ascii="Times New Roman" w:hAnsi="Times New Roman" w:cs="Times New Roman"/>
          <w:sz w:val="22"/>
          <w:szCs w:val="22"/>
        </w:rPr>
      </w:pPr>
      <w:r w:rsidRPr="001D32BD">
        <w:rPr>
          <w:rStyle w:val="Odwoanieprzypisudolnego"/>
          <w:rFonts w:ascii="Times New Roman" w:hAnsi="Times New Roman" w:cs="Times New Roman"/>
          <w:sz w:val="22"/>
          <w:szCs w:val="22"/>
        </w:rPr>
        <w:footnoteRef/>
      </w:r>
      <w:r w:rsidRPr="001D32BD">
        <w:rPr>
          <w:rFonts w:ascii="Times New Roman" w:hAnsi="Times New Roman" w:cs="Times New Roman"/>
          <w:sz w:val="22"/>
          <w:szCs w:val="22"/>
        </w:rPr>
        <w:t xml:space="preserve"> M. Chojak, </w:t>
      </w:r>
      <w:r w:rsidRPr="001D32BD">
        <w:rPr>
          <w:rFonts w:ascii="Times New Roman" w:hAnsi="Times New Roman" w:cs="Times New Roman"/>
          <w:i/>
          <w:iCs/>
          <w:sz w:val="22"/>
          <w:szCs w:val="22"/>
        </w:rPr>
        <w:t>Rodzice a gotowość szkolna dzieci</w:t>
      </w:r>
      <w:r w:rsidRPr="001D32BD">
        <w:rPr>
          <w:rFonts w:ascii="Times New Roman" w:hAnsi="Times New Roman" w:cs="Times New Roman"/>
          <w:sz w:val="22"/>
          <w:szCs w:val="22"/>
        </w:rPr>
        <w:t>, Wydawnictwo Uniwersytetu Marii Curie-Skłodowskiej, Lublin 2016, s. 11.</w:t>
      </w:r>
    </w:p>
  </w:footnote>
  <w:footnote w:id="2">
    <w:p w14:paraId="738F8534" w14:textId="77777777" w:rsidR="00064521" w:rsidRPr="001B1DAA" w:rsidRDefault="00064521" w:rsidP="00064521">
      <w:pPr>
        <w:pStyle w:val="Tekstprzypisudolnego"/>
        <w:jc w:val="both"/>
        <w:rPr>
          <w:rFonts w:ascii="Times New Roman" w:hAnsi="Times New Roman" w:cs="Times New Roman"/>
          <w:sz w:val="22"/>
          <w:szCs w:val="22"/>
        </w:rPr>
      </w:pPr>
      <w:r w:rsidRPr="001B1DAA">
        <w:rPr>
          <w:rStyle w:val="Odwoanieprzypisudolnego"/>
          <w:rFonts w:ascii="Times New Roman" w:hAnsi="Times New Roman" w:cs="Times New Roman"/>
          <w:sz w:val="22"/>
          <w:szCs w:val="22"/>
        </w:rPr>
        <w:footnoteRef/>
      </w:r>
      <w:r w:rsidRPr="001B1DAA">
        <w:rPr>
          <w:rFonts w:ascii="Times New Roman" w:hAnsi="Times New Roman" w:cs="Times New Roman"/>
          <w:sz w:val="22"/>
          <w:szCs w:val="22"/>
        </w:rPr>
        <w:t xml:space="preserve"> B. </w:t>
      </w:r>
      <w:proofErr w:type="spellStart"/>
      <w:r w:rsidRPr="001B1DAA">
        <w:rPr>
          <w:rFonts w:ascii="Times New Roman" w:hAnsi="Times New Roman" w:cs="Times New Roman"/>
          <w:sz w:val="22"/>
          <w:szCs w:val="22"/>
        </w:rPr>
        <w:t>Wilgocka-Okoń</w:t>
      </w:r>
      <w:proofErr w:type="spellEnd"/>
      <w:r w:rsidRPr="001B1DAA">
        <w:rPr>
          <w:rFonts w:ascii="Times New Roman" w:hAnsi="Times New Roman" w:cs="Times New Roman"/>
          <w:sz w:val="22"/>
          <w:szCs w:val="22"/>
        </w:rPr>
        <w:t xml:space="preserve">, </w:t>
      </w:r>
      <w:r w:rsidRPr="001B1DAA">
        <w:rPr>
          <w:rFonts w:ascii="Times New Roman" w:hAnsi="Times New Roman" w:cs="Times New Roman"/>
          <w:i/>
          <w:iCs/>
          <w:sz w:val="22"/>
          <w:szCs w:val="22"/>
        </w:rPr>
        <w:t>Gotowość szkolna dzieci sześcioletnich</w:t>
      </w:r>
      <w:r w:rsidRPr="001B1DAA">
        <w:rPr>
          <w:rFonts w:ascii="Times New Roman" w:hAnsi="Times New Roman" w:cs="Times New Roman"/>
          <w:sz w:val="22"/>
          <w:szCs w:val="22"/>
        </w:rPr>
        <w:t>, Wydawnictwo Akademickie „Żak”, Warszawa 2003, s. 10.</w:t>
      </w:r>
    </w:p>
  </w:footnote>
  <w:footnote w:id="3">
    <w:p w14:paraId="63F60DEE" w14:textId="77777777" w:rsidR="00064521" w:rsidRPr="001B1DAA" w:rsidRDefault="00064521" w:rsidP="00064521">
      <w:pPr>
        <w:pStyle w:val="Tekstprzypisudolnego"/>
        <w:jc w:val="both"/>
        <w:rPr>
          <w:rFonts w:ascii="Times New Roman" w:hAnsi="Times New Roman" w:cs="Times New Roman"/>
          <w:sz w:val="22"/>
          <w:szCs w:val="22"/>
        </w:rPr>
      </w:pPr>
      <w:r w:rsidRPr="001B1DAA">
        <w:rPr>
          <w:rStyle w:val="Odwoanieprzypisudolnego"/>
          <w:rFonts w:ascii="Times New Roman" w:hAnsi="Times New Roman" w:cs="Times New Roman"/>
          <w:sz w:val="22"/>
          <w:szCs w:val="22"/>
        </w:rPr>
        <w:footnoteRef/>
      </w:r>
      <w:r w:rsidRPr="001B1DAA">
        <w:rPr>
          <w:rFonts w:ascii="Times New Roman" w:hAnsi="Times New Roman" w:cs="Times New Roman"/>
          <w:sz w:val="22"/>
          <w:szCs w:val="22"/>
        </w:rPr>
        <w:t xml:space="preserve"> W. Okoń, </w:t>
      </w:r>
      <w:r w:rsidRPr="001B1DAA">
        <w:rPr>
          <w:rFonts w:ascii="Times New Roman" w:hAnsi="Times New Roman" w:cs="Times New Roman"/>
          <w:i/>
          <w:iCs/>
          <w:sz w:val="22"/>
          <w:szCs w:val="22"/>
        </w:rPr>
        <w:t>Nowy słownik pedagogiczny</w:t>
      </w:r>
      <w:r w:rsidRPr="001B1DAA">
        <w:rPr>
          <w:rFonts w:ascii="Times New Roman" w:hAnsi="Times New Roman" w:cs="Times New Roman"/>
          <w:sz w:val="22"/>
          <w:szCs w:val="22"/>
        </w:rPr>
        <w:t>, Wydawnictwo Akademickie „Żak”, Warszawa 2001, s. 70.</w:t>
      </w:r>
    </w:p>
  </w:footnote>
  <w:footnote w:id="4">
    <w:p w14:paraId="2C7317F0" w14:textId="77777777" w:rsidR="00064521" w:rsidRPr="001B1DAA" w:rsidRDefault="00064521" w:rsidP="00064521">
      <w:pPr>
        <w:pStyle w:val="Tekstprzypisudolnego"/>
        <w:jc w:val="both"/>
        <w:rPr>
          <w:rFonts w:ascii="Times New Roman" w:hAnsi="Times New Roman" w:cs="Times New Roman"/>
          <w:sz w:val="22"/>
          <w:szCs w:val="22"/>
        </w:rPr>
      </w:pPr>
      <w:r w:rsidRPr="001B1DAA">
        <w:rPr>
          <w:rStyle w:val="Odwoanieprzypisudolnego"/>
          <w:rFonts w:ascii="Times New Roman" w:hAnsi="Times New Roman" w:cs="Times New Roman"/>
          <w:sz w:val="22"/>
          <w:szCs w:val="22"/>
        </w:rPr>
        <w:footnoteRef/>
      </w:r>
      <w:r w:rsidRPr="001B1DAA">
        <w:rPr>
          <w:rFonts w:ascii="Times New Roman" w:hAnsi="Times New Roman" w:cs="Times New Roman"/>
          <w:sz w:val="22"/>
          <w:szCs w:val="22"/>
        </w:rPr>
        <w:t xml:space="preserve"> Ibidem, s. 10.</w:t>
      </w:r>
    </w:p>
  </w:footnote>
  <w:footnote w:id="5">
    <w:p w14:paraId="566A0C7B" w14:textId="77777777" w:rsidR="00064521" w:rsidRPr="00FD5CE0" w:rsidRDefault="00064521" w:rsidP="00064521">
      <w:pPr>
        <w:pStyle w:val="Tekstprzypisudolnego"/>
        <w:jc w:val="both"/>
        <w:rPr>
          <w:rFonts w:ascii="Times New Roman" w:hAnsi="Times New Roman" w:cs="Times New Roman"/>
          <w:sz w:val="22"/>
          <w:szCs w:val="22"/>
        </w:rPr>
      </w:pPr>
      <w:r w:rsidRPr="00FD5CE0">
        <w:rPr>
          <w:rStyle w:val="Odwoanieprzypisudolnego"/>
          <w:rFonts w:ascii="Times New Roman" w:hAnsi="Times New Roman" w:cs="Times New Roman"/>
          <w:sz w:val="22"/>
          <w:szCs w:val="22"/>
        </w:rPr>
        <w:footnoteRef/>
      </w:r>
      <w:r w:rsidRPr="00FD5CE0">
        <w:rPr>
          <w:rFonts w:ascii="Times New Roman" w:hAnsi="Times New Roman" w:cs="Times New Roman"/>
          <w:sz w:val="22"/>
          <w:szCs w:val="22"/>
        </w:rPr>
        <w:t xml:space="preserve"> L. Wiatrowska, </w:t>
      </w:r>
      <w:r w:rsidRPr="00FD5CE0">
        <w:rPr>
          <w:rFonts w:ascii="Times New Roman" w:hAnsi="Times New Roman" w:cs="Times New Roman"/>
          <w:i/>
          <w:iCs/>
          <w:sz w:val="22"/>
          <w:szCs w:val="22"/>
        </w:rPr>
        <w:t>Dylematy wokół podstawowych pojęć</w:t>
      </w:r>
      <w:r w:rsidRPr="00FD5CE0">
        <w:rPr>
          <w:rFonts w:ascii="Times New Roman" w:hAnsi="Times New Roman" w:cs="Times New Roman"/>
          <w:sz w:val="22"/>
          <w:szCs w:val="22"/>
        </w:rPr>
        <w:t xml:space="preserve">, [w:] L. Wiatrowska, H. Dmochowska, </w:t>
      </w:r>
      <w:r w:rsidRPr="00FD5CE0">
        <w:rPr>
          <w:rFonts w:ascii="Times New Roman" w:hAnsi="Times New Roman" w:cs="Times New Roman"/>
          <w:i/>
          <w:iCs/>
          <w:sz w:val="22"/>
          <w:szCs w:val="22"/>
        </w:rPr>
        <w:t>Dziecko u progu szkoły. Dojrzałość szkolna dzieci a ich gotowość do nauki</w:t>
      </w:r>
      <w:r w:rsidRPr="00FD5CE0">
        <w:rPr>
          <w:rFonts w:ascii="Times New Roman" w:hAnsi="Times New Roman" w:cs="Times New Roman"/>
          <w:sz w:val="22"/>
          <w:szCs w:val="22"/>
        </w:rPr>
        <w:t>, Wydawnictwo Oficyna Wydawnicza „Impuls”, Kraków 2013, s. 13.</w:t>
      </w:r>
    </w:p>
  </w:footnote>
  <w:footnote w:id="6">
    <w:p w14:paraId="3D6DB0A9" w14:textId="77777777" w:rsidR="00064521" w:rsidRPr="00FD5CE0" w:rsidRDefault="00064521" w:rsidP="00064521">
      <w:pPr>
        <w:pStyle w:val="Tekstprzypisudolnego"/>
        <w:jc w:val="both"/>
        <w:rPr>
          <w:rFonts w:ascii="Times New Roman" w:hAnsi="Times New Roman" w:cs="Times New Roman"/>
          <w:sz w:val="22"/>
          <w:szCs w:val="22"/>
        </w:rPr>
      </w:pPr>
      <w:r w:rsidRPr="00FD5CE0">
        <w:rPr>
          <w:rStyle w:val="Odwoanieprzypisudolnego"/>
          <w:rFonts w:ascii="Times New Roman" w:hAnsi="Times New Roman" w:cs="Times New Roman"/>
          <w:sz w:val="22"/>
          <w:szCs w:val="22"/>
        </w:rPr>
        <w:footnoteRef/>
      </w:r>
      <w:r w:rsidRPr="00FD5CE0">
        <w:rPr>
          <w:rFonts w:ascii="Times New Roman" w:hAnsi="Times New Roman" w:cs="Times New Roman"/>
          <w:sz w:val="22"/>
          <w:szCs w:val="22"/>
        </w:rPr>
        <w:t xml:space="preserve"> Ibidem, s. 14.</w:t>
      </w:r>
    </w:p>
  </w:footnote>
  <w:footnote w:id="7">
    <w:p w14:paraId="341F2567" w14:textId="77777777" w:rsidR="00064521" w:rsidRPr="00FD5CE0" w:rsidRDefault="00064521" w:rsidP="00064521">
      <w:pPr>
        <w:pStyle w:val="Tekstprzypisudolnego"/>
        <w:jc w:val="both"/>
        <w:rPr>
          <w:rFonts w:ascii="Times New Roman" w:hAnsi="Times New Roman" w:cs="Times New Roman"/>
          <w:sz w:val="22"/>
          <w:szCs w:val="22"/>
        </w:rPr>
      </w:pPr>
      <w:r w:rsidRPr="00FD5CE0">
        <w:rPr>
          <w:rStyle w:val="Odwoanieprzypisudolnego"/>
          <w:rFonts w:ascii="Times New Roman" w:hAnsi="Times New Roman" w:cs="Times New Roman"/>
          <w:sz w:val="22"/>
          <w:szCs w:val="22"/>
        </w:rPr>
        <w:footnoteRef/>
      </w:r>
      <w:r w:rsidRPr="00FD5CE0">
        <w:rPr>
          <w:rFonts w:ascii="Times New Roman" w:hAnsi="Times New Roman" w:cs="Times New Roman"/>
          <w:sz w:val="22"/>
          <w:szCs w:val="22"/>
        </w:rPr>
        <w:t xml:space="preserve"> K. Kusiak, </w:t>
      </w:r>
      <w:r w:rsidRPr="00FD5CE0">
        <w:rPr>
          <w:rFonts w:ascii="Times New Roman" w:hAnsi="Times New Roman" w:cs="Times New Roman"/>
          <w:i/>
          <w:iCs/>
          <w:sz w:val="22"/>
          <w:szCs w:val="22"/>
        </w:rPr>
        <w:t>Oblicza gotowości szkolnej – wprowadzenie</w:t>
      </w:r>
      <w:r w:rsidRPr="00FD5CE0">
        <w:rPr>
          <w:rFonts w:ascii="Times New Roman" w:hAnsi="Times New Roman" w:cs="Times New Roman"/>
          <w:sz w:val="22"/>
          <w:szCs w:val="22"/>
        </w:rPr>
        <w:t xml:space="preserve">, [w:] </w:t>
      </w:r>
      <w:r w:rsidRPr="00FD5CE0">
        <w:rPr>
          <w:rFonts w:ascii="Times New Roman" w:hAnsi="Times New Roman" w:cs="Times New Roman"/>
          <w:i/>
          <w:iCs/>
          <w:sz w:val="22"/>
          <w:szCs w:val="22"/>
        </w:rPr>
        <w:t>Oblicza gotowości szkolnej</w:t>
      </w:r>
      <w:r w:rsidRPr="00FD5CE0">
        <w:rPr>
          <w:rFonts w:ascii="Times New Roman" w:hAnsi="Times New Roman" w:cs="Times New Roman"/>
          <w:sz w:val="22"/>
          <w:szCs w:val="22"/>
        </w:rPr>
        <w:t xml:space="preserve">, pod red. naukową K. Kusiak, B. Bednarczuk, Wydawnictwo Harmonia </w:t>
      </w:r>
      <w:proofErr w:type="spellStart"/>
      <w:r w:rsidRPr="00FD5CE0">
        <w:rPr>
          <w:rFonts w:ascii="Times New Roman" w:hAnsi="Times New Roman" w:cs="Times New Roman"/>
          <w:sz w:val="22"/>
          <w:szCs w:val="22"/>
        </w:rPr>
        <w:t>Universalis</w:t>
      </w:r>
      <w:proofErr w:type="spellEnd"/>
      <w:r w:rsidRPr="00FD5CE0">
        <w:rPr>
          <w:rFonts w:ascii="Times New Roman" w:hAnsi="Times New Roman" w:cs="Times New Roman"/>
          <w:sz w:val="22"/>
          <w:szCs w:val="22"/>
        </w:rPr>
        <w:t>, Gdańsk 2015, s. 12.</w:t>
      </w:r>
    </w:p>
  </w:footnote>
  <w:footnote w:id="8">
    <w:p w14:paraId="29EAAA60" w14:textId="77777777" w:rsidR="00064521" w:rsidRPr="00FD5CE0" w:rsidRDefault="00064521" w:rsidP="00064521">
      <w:pPr>
        <w:pStyle w:val="Tekstprzypisudolnego"/>
        <w:jc w:val="both"/>
        <w:rPr>
          <w:rFonts w:ascii="Times New Roman" w:hAnsi="Times New Roman" w:cs="Times New Roman"/>
          <w:sz w:val="22"/>
          <w:szCs w:val="22"/>
        </w:rPr>
      </w:pPr>
      <w:r w:rsidRPr="00FD5CE0">
        <w:rPr>
          <w:rStyle w:val="Odwoanieprzypisudolnego"/>
          <w:rFonts w:ascii="Times New Roman" w:hAnsi="Times New Roman" w:cs="Times New Roman"/>
          <w:sz w:val="22"/>
          <w:szCs w:val="22"/>
        </w:rPr>
        <w:footnoteRef/>
      </w:r>
      <w:r w:rsidRPr="00FD5CE0">
        <w:rPr>
          <w:rFonts w:ascii="Times New Roman" w:hAnsi="Times New Roman" w:cs="Times New Roman"/>
          <w:sz w:val="22"/>
          <w:szCs w:val="22"/>
        </w:rPr>
        <w:t xml:space="preserve"> M. Chojak, </w:t>
      </w:r>
      <w:proofErr w:type="spellStart"/>
      <w:r w:rsidRPr="00FD5CE0">
        <w:rPr>
          <w:rFonts w:ascii="Times New Roman" w:hAnsi="Times New Roman" w:cs="Times New Roman"/>
          <w:sz w:val="22"/>
          <w:szCs w:val="22"/>
        </w:rPr>
        <w:t>op.cit</w:t>
      </w:r>
      <w:proofErr w:type="spellEnd"/>
      <w:r w:rsidRPr="00FD5CE0">
        <w:rPr>
          <w:rFonts w:ascii="Times New Roman" w:hAnsi="Times New Roman" w:cs="Times New Roman"/>
          <w:sz w:val="22"/>
          <w:szCs w:val="22"/>
        </w:rPr>
        <w:t>., s. 14.</w:t>
      </w:r>
    </w:p>
  </w:footnote>
  <w:footnote w:id="9">
    <w:p w14:paraId="2A96E311" w14:textId="77777777" w:rsidR="00064521" w:rsidRDefault="00064521" w:rsidP="00064521">
      <w:pPr>
        <w:pStyle w:val="Tekstprzypisudolnego"/>
        <w:jc w:val="both"/>
      </w:pPr>
      <w:r w:rsidRPr="00FD5CE0">
        <w:rPr>
          <w:rStyle w:val="Odwoanieprzypisudolnego"/>
          <w:rFonts w:ascii="Times New Roman" w:hAnsi="Times New Roman" w:cs="Times New Roman"/>
          <w:sz w:val="22"/>
          <w:szCs w:val="22"/>
        </w:rPr>
        <w:footnoteRef/>
      </w:r>
      <w:r w:rsidRPr="00FD5CE0">
        <w:rPr>
          <w:rFonts w:ascii="Times New Roman" w:hAnsi="Times New Roman" w:cs="Times New Roman"/>
          <w:sz w:val="22"/>
          <w:szCs w:val="22"/>
        </w:rPr>
        <w:t xml:space="preserve"> L. Wiatrowska, </w:t>
      </w:r>
      <w:proofErr w:type="spellStart"/>
      <w:r w:rsidRPr="00FD5CE0">
        <w:rPr>
          <w:rFonts w:ascii="Times New Roman" w:hAnsi="Times New Roman" w:cs="Times New Roman"/>
          <w:sz w:val="22"/>
          <w:szCs w:val="22"/>
        </w:rPr>
        <w:t>op.cit</w:t>
      </w:r>
      <w:proofErr w:type="spellEnd"/>
      <w:r w:rsidRPr="00FD5CE0">
        <w:rPr>
          <w:rFonts w:ascii="Times New Roman" w:hAnsi="Times New Roman" w:cs="Times New Roman"/>
          <w:sz w:val="22"/>
          <w:szCs w:val="22"/>
        </w:rPr>
        <w:t>., s. 14-15.</w:t>
      </w:r>
    </w:p>
  </w:footnote>
  <w:footnote w:id="10">
    <w:p w14:paraId="00BF990E" w14:textId="77777777" w:rsidR="00064521" w:rsidRPr="00AC63C7" w:rsidRDefault="00064521" w:rsidP="00064521">
      <w:pPr>
        <w:pStyle w:val="Tekstprzypisudolnego"/>
        <w:jc w:val="both"/>
        <w:rPr>
          <w:rFonts w:ascii="Times New Roman" w:hAnsi="Times New Roman" w:cs="Times New Roman"/>
          <w:sz w:val="22"/>
          <w:szCs w:val="22"/>
        </w:rPr>
      </w:pPr>
      <w:r w:rsidRPr="00AC63C7">
        <w:rPr>
          <w:rStyle w:val="Odwoanieprzypisudolnego"/>
          <w:rFonts w:ascii="Times New Roman" w:hAnsi="Times New Roman" w:cs="Times New Roman"/>
          <w:sz w:val="22"/>
          <w:szCs w:val="22"/>
        </w:rPr>
        <w:footnoteRef/>
      </w:r>
      <w:r w:rsidRPr="00AC63C7">
        <w:rPr>
          <w:rFonts w:ascii="Times New Roman" w:hAnsi="Times New Roman" w:cs="Times New Roman"/>
          <w:sz w:val="22"/>
          <w:szCs w:val="22"/>
        </w:rPr>
        <w:t xml:space="preserve"> E. Sosnowska-</w:t>
      </w:r>
      <w:proofErr w:type="spellStart"/>
      <w:r w:rsidRPr="00AC63C7">
        <w:rPr>
          <w:rFonts w:ascii="Times New Roman" w:hAnsi="Times New Roman" w:cs="Times New Roman"/>
          <w:sz w:val="22"/>
          <w:szCs w:val="22"/>
        </w:rPr>
        <w:t>Bielicz</w:t>
      </w:r>
      <w:proofErr w:type="spellEnd"/>
      <w:r w:rsidRPr="00AC63C7">
        <w:rPr>
          <w:rFonts w:ascii="Times New Roman" w:hAnsi="Times New Roman" w:cs="Times New Roman"/>
          <w:sz w:val="22"/>
          <w:szCs w:val="22"/>
        </w:rPr>
        <w:t xml:space="preserve">, </w:t>
      </w:r>
      <w:r w:rsidRPr="00AC63C7">
        <w:rPr>
          <w:rFonts w:ascii="Times New Roman" w:hAnsi="Times New Roman" w:cs="Times New Roman"/>
          <w:i/>
          <w:iCs/>
          <w:sz w:val="22"/>
          <w:szCs w:val="22"/>
        </w:rPr>
        <w:t>Co kryje się pod pojęciem gotowości społeczno-emocjonalnej dzieci sześcioletnich do rozpoczęcia edukacji szkolnej?</w:t>
      </w:r>
      <w:r w:rsidRPr="00AC63C7">
        <w:rPr>
          <w:rFonts w:ascii="Times New Roman" w:hAnsi="Times New Roman" w:cs="Times New Roman"/>
          <w:sz w:val="22"/>
          <w:szCs w:val="22"/>
        </w:rPr>
        <w:t xml:space="preserve">, [w:] </w:t>
      </w:r>
      <w:r w:rsidRPr="00AC63C7">
        <w:rPr>
          <w:rFonts w:ascii="Times New Roman" w:hAnsi="Times New Roman" w:cs="Times New Roman"/>
          <w:i/>
          <w:iCs/>
          <w:sz w:val="22"/>
          <w:szCs w:val="22"/>
        </w:rPr>
        <w:t>Oblicza gotowości szkolnej</w:t>
      </w:r>
      <w:r w:rsidRPr="00AC63C7">
        <w:rPr>
          <w:rFonts w:ascii="Times New Roman" w:hAnsi="Times New Roman" w:cs="Times New Roman"/>
          <w:sz w:val="22"/>
          <w:szCs w:val="22"/>
        </w:rPr>
        <w:t xml:space="preserve">, pod red. nauk. K. Kusiak, B. Bednarczuk, Wydawnictwo Harmonia </w:t>
      </w:r>
      <w:proofErr w:type="spellStart"/>
      <w:r w:rsidRPr="00AC63C7">
        <w:rPr>
          <w:rFonts w:ascii="Times New Roman" w:hAnsi="Times New Roman" w:cs="Times New Roman"/>
          <w:sz w:val="22"/>
          <w:szCs w:val="22"/>
        </w:rPr>
        <w:t>Universalis</w:t>
      </w:r>
      <w:proofErr w:type="spellEnd"/>
      <w:r w:rsidRPr="00AC63C7">
        <w:rPr>
          <w:rFonts w:ascii="Times New Roman" w:hAnsi="Times New Roman" w:cs="Times New Roman"/>
          <w:sz w:val="22"/>
          <w:szCs w:val="22"/>
        </w:rPr>
        <w:t>, Gdańsk 2015, s. 213-214.</w:t>
      </w:r>
    </w:p>
  </w:footnote>
  <w:footnote w:id="11">
    <w:p w14:paraId="515F5B7E" w14:textId="77777777" w:rsidR="00064521" w:rsidRPr="00AC63C7" w:rsidRDefault="00064521" w:rsidP="00064521">
      <w:pPr>
        <w:pStyle w:val="Tekstprzypisudolnego"/>
        <w:jc w:val="both"/>
        <w:rPr>
          <w:rFonts w:ascii="Times New Roman" w:hAnsi="Times New Roman" w:cs="Times New Roman"/>
          <w:sz w:val="22"/>
          <w:szCs w:val="22"/>
        </w:rPr>
      </w:pPr>
      <w:r w:rsidRPr="00AC63C7">
        <w:rPr>
          <w:rStyle w:val="Odwoanieprzypisudolnego"/>
          <w:rFonts w:ascii="Times New Roman" w:hAnsi="Times New Roman" w:cs="Times New Roman"/>
          <w:sz w:val="22"/>
          <w:szCs w:val="22"/>
        </w:rPr>
        <w:footnoteRef/>
      </w:r>
      <w:r w:rsidRPr="00AC63C7">
        <w:rPr>
          <w:rFonts w:ascii="Times New Roman" w:hAnsi="Times New Roman" w:cs="Times New Roman"/>
          <w:sz w:val="22"/>
          <w:szCs w:val="22"/>
        </w:rPr>
        <w:t xml:space="preserve"> Ibidem, s. 214-216.</w:t>
      </w:r>
    </w:p>
  </w:footnote>
  <w:footnote w:id="12">
    <w:p w14:paraId="5245CD76" w14:textId="77777777" w:rsidR="00064521" w:rsidRDefault="00064521" w:rsidP="00064521">
      <w:pPr>
        <w:pStyle w:val="Tekstprzypisudolnego"/>
        <w:jc w:val="both"/>
      </w:pPr>
      <w:r w:rsidRPr="00AC63C7">
        <w:rPr>
          <w:rStyle w:val="Odwoanieprzypisudolnego"/>
          <w:rFonts w:ascii="Times New Roman" w:hAnsi="Times New Roman" w:cs="Times New Roman"/>
          <w:sz w:val="22"/>
          <w:szCs w:val="22"/>
        </w:rPr>
        <w:footnoteRef/>
      </w:r>
      <w:r w:rsidRPr="00AC63C7">
        <w:rPr>
          <w:rFonts w:ascii="Times New Roman" w:hAnsi="Times New Roman" w:cs="Times New Roman"/>
          <w:sz w:val="22"/>
          <w:szCs w:val="22"/>
        </w:rPr>
        <w:t xml:space="preserve"> Ibidem, s. 216-218.</w:t>
      </w:r>
    </w:p>
  </w:footnote>
  <w:footnote w:id="13">
    <w:p w14:paraId="5AE80141" w14:textId="77777777" w:rsidR="00064521" w:rsidRPr="007C4EDE" w:rsidRDefault="00064521" w:rsidP="00064521">
      <w:pPr>
        <w:pStyle w:val="Tekstprzypisudolnego"/>
        <w:jc w:val="both"/>
        <w:rPr>
          <w:rFonts w:ascii="Times New Roman" w:hAnsi="Times New Roman" w:cs="Times New Roman"/>
          <w:sz w:val="22"/>
          <w:szCs w:val="22"/>
        </w:rPr>
      </w:pPr>
      <w:r w:rsidRPr="007C4EDE">
        <w:rPr>
          <w:rStyle w:val="Odwoanieprzypisudolnego"/>
          <w:rFonts w:ascii="Times New Roman" w:hAnsi="Times New Roman" w:cs="Times New Roman"/>
          <w:sz w:val="22"/>
          <w:szCs w:val="22"/>
        </w:rPr>
        <w:footnoteRef/>
      </w:r>
      <w:r w:rsidRPr="007C4EDE">
        <w:rPr>
          <w:rFonts w:ascii="Times New Roman" w:hAnsi="Times New Roman" w:cs="Times New Roman"/>
          <w:sz w:val="22"/>
          <w:szCs w:val="22"/>
        </w:rPr>
        <w:t xml:space="preserve"> </w:t>
      </w:r>
      <w:r>
        <w:rPr>
          <w:rFonts w:ascii="Times New Roman" w:hAnsi="Times New Roman" w:cs="Times New Roman"/>
          <w:sz w:val="22"/>
          <w:szCs w:val="22"/>
        </w:rPr>
        <w:t>Ibidem,</w:t>
      </w:r>
      <w:r w:rsidRPr="007C4EDE">
        <w:rPr>
          <w:rFonts w:ascii="Times New Roman" w:hAnsi="Times New Roman" w:cs="Times New Roman"/>
          <w:sz w:val="22"/>
          <w:szCs w:val="22"/>
        </w:rPr>
        <w:t xml:space="preserve"> s. 2</w:t>
      </w:r>
      <w:r>
        <w:rPr>
          <w:rFonts w:ascii="Times New Roman" w:hAnsi="Times New Roman" w:cs="Times New Roman"/>
          <w:sz w:val="22"/>
          <w:szCs w:val="22"/>
        </w:rPr>
        <w:t>18-</w:t>
      </w:r>
      <w:r w:rsidRPr="007C4EDE">
        <w:rPr>
          <w:rFonts w:ascii="Times New Roman" w:hAnsi="Times New Roman" w:cs="Times New Roman"/>
          <w:sz w:val="22"/>
          <w:szCs w:val="22"/>
        </w:rPr>
        <w:t>219.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21"/>
    <w:rsid w:val="000223FD"/>
    <w:rsid w:val="00064521"/>
    <w:rsid w:val="003B3EF1"/>
    <w:rsid w:val="004A078A"/>
    <w:rsid w:val="004F7602"/>
    <w:rsid w:val="00642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7405"/>
  <w15:chartTrackingRefBased/>
  <w15:docId w15:val="{FDCDF577-476E-41EB-8847-FD3C568C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52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64521"/>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064521"/>
    <w:rPr>
      <w:rFonts w:eastAsiaTheme="minorEastAsia"/>
      <w:kern w:val="0"/>
      <w:sz w:val="20"/>
      <w:szCs w:val="20"/>
      <w:lang w:eastAsia="pl-PL"/>
      <w14:ligatures w14:val="none"/>
    </w:rPr>
  </w:style>
  <w:style w:type="character" w:styleId="Odwoanieprzypisudolnego">
    <w:name w:val="footnote reference"/>
    <w:basedOn w:val="Domylnaczcionkaakapitu"/>
    <w:uiPriority w:val="99"/>
    <w:semiHidden/>
    <w:unhideWhenUsed/>
    <w:rsid w:val="00064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958</Words>
  <Characters>5752</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dc:creator>
  <cp:keywords/>
  <dc:description/>
  <cp:lastModifiedBy>Kamil K</cp:lastModifiedBy>
  <cp:revision>2</cp:revision>
  <dcterms:created xsi:type="dcterms:W3CDTF">2024-02-15T17:13:00Z</dcterms:created>
  <dcterms:modified xsi:type="dcterms:W3CDTF">2024-02-15T17:20:00Z</dcterms:modified>
</cp:coreProperties>
</file>